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17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12990"/>
      </w:tblGrid>
      <w:tr w:rsidR="00871387">
        <w:tc>
          <w:tcPr>
            <w:tcW w:w="1188" w:type="dxa"/>
            <w:tcBorders>
              <w:bottom w:val="single" w:sz="6" w:space="0" w:color="auto"/>
            </w:tcBorders>
            <w:vAlign w:val="center"/>
          </w:tcPr>
          <w:p w:rsidR="00871387" w:rsidRDefault="002D611F">
            <w:pPr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12990" w:type="dxa"/>
            <w:tcBorders>
              <w:bottom w:val="single" w:sz="6" w:space="0" w:color="auto"/>
            </w:tcBorders>
            <w:vAlign w:val="center"/>
          </w:tcPr>
          <w:p w:rsidR="00871387" w:rsidRDefault="0008732C"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未来二路</w:t>
            </w:r>
            <w:r w:rsidR="008069BE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科技五路</w:t>
            </w:r>
            <w:r w:rsidR="008069BE">
              <w:rPr>
                <w:rFonts w:hint="eastAsia"/>
                <w:szCs w:val="21"/>
              </w:rPr>
              <w:t>~</w:t>
            </w:r>
            <w:r>
              <w:rPr>
                <w:rFonts w:hint="eastAsia"/>
                <w:szCs w:val="21"/>
              </w:rPr>
              <w:t>高新大道</w:t>
            </w:r>
            <w:r w:rsidR="008069BE">
              <w:rPr>
                <w:rFonts w:hint="eastAsia"/>
                <w:szCs w:val="21"/>
              </w:rPr>
              <w:t>）综合改造工程</w:t>
            </w:r>
          </w:p>
        </w:tc>
      </w:tr>
      <w:tr w:rsidR="00871387">
        <w:trPr>
          <w:trHeight w:val="438"/>
        </w:trPr>
        <w:tc>
          <w:tcPr>
            <w:tcW w:w="14178" w:type="dxa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71387" w:rsidRDefault="002D611F" w:rsidP="008069B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项目地址：</w:t>
            </w:r>
            <w:r w:rsidRPr="002D611F">
              <w:rPr>
                <w:rFonts w:ascii="宋体" w:hAnsi="宋体" w:hint="eastAsia"/>
                <w:szCs w:val="21"/>
              </w:rPr>
              <w:t>东湖</w:t>
            </w:r>
            <w:r w:rsidR="008069BE">
              <w:rPr>
                <w:rFonts w:ascii="宋体" w:hAnsi="宋体" w:hint="eastAsia"/>
                <w:szCs w:val="21"/>
              </w:rPr>
              <w:t>高</w:t>
            </w:r>
            <w:r w:rsidRPr="002D611F">
              <w:rPr>
                <w:rFonts w:ascii="宋体" w:hAnsi="宋体" w:hint="eastAsia"/>
                <w:szCs w:val="21"/>
              </w:rPr>
              <w:t>新技术开发区</w:t>
            </w:r>
          </w:p>
        </w:tc>
      </w:tr>
      <w:tr w:rsidR="00871387">
        <w:trPr>
          <w:trHeight w:val="513"/>
        </w:trPr>
        <w:tc>
          <w:tcPr>
            <w:tcW w:w="14178" w:type="dxa"/>
            <w:gridSpan w:val="2"/>
            <w:tcBorders>
              <w:top w:val="single" w:sz="12" w:space="0" w:color="auto"/>
            </w:tcBorders>
            <w:vAlign w:val="center"/>
          </w:tcPr>
          <w:p w:rsidR="00871387" w:rsidRDefault="002D611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服务对象：道路□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给排水</w:t>
            </w:r>
            <w:r>
              <w:rPr>
                <w:rFonts w:ascii="MS Mincho" w:eastAsia="MS Mincho" w:hAnsi="MS Mincho" w:cs="MS Mincho" w:hint="eastAsia"/>
                <w:b/>
                <w:sz w:val="18"/>
                <w:szCs w:val="18"/>
              </w:rPr>
              <w:t>☑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桥隧□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建筑□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其它□</w:t>
            </w:r>
          </w:p>
        </w:tc>
      </w:tr>
      <w:tr w:rsidR="00871387">
        <w:trPr>
          <w:trHeight w:val="3906"/>
        </w:trPr>
        <w:tc>
          <w:tcPr>
            <w:tcW w:w="14178" w:type="dxa"/>
            <w:gridSpan w:val="2"/>
          </w:tcPr>
          <w:p w:rsidR="00871387" w:rsidRPr="00E96CBC" w:rsidRDefault="002D611F">
            <w:pPr>
              <w:rPr>
                <w:b/>
                <w:szCs w:val="21"/>
              </w:rPr>
            </w:pPr>
            <w:r w:rsidRPr="00E96CBC">
              <w:rPr>
                <w:rFonts w:hint="eastAsia"/>
                <w:b/>
                <w:szCs w:val="21"/>
              </w:rPr>
              <w:t>主要内容及技术要求：</w:t>
            </w:r>
          </w:p>
          <w:p w:rsidR="00E96CBC" w:rsidRPr="00E96CBC" w:rsidRDefault="00E96CBC" w:rsidP="00E96CBC">
            <w:pPr>
              <w:spacing w:line="300" w:lineRule="auto"/>
              <w:rPr>
                <w:b/>
                <w:szCs w:val="21"/>
              </w:rPr>
            </w:pPr>
            <w:r w:rsidRPr="00E96CBC">
              <w:rPr>
                <w:rFonts w:hint="eastAsia"/>
                <w:b/>
                <w:szCs w:val="21"/>
              </w:rPr>
              <w:t>项目</w:t>
            </w:r>
            <w:r w:rsidRPr="00E96CBC">
              <w:rPr>
                <w:b/>
                <w:szCs w:val="21"/>
              </w:rPr>
              <w:t>概况：</w:t>
            </w:r>
          </w:p>
          <w:p w:rsidR="00CB13AC" w:rsidRPr="00E96CBC" w:rsidRDefault="00282D16" w:rsidP="00E96CBC">
            <w:pPr>
              <w:spacing w:line="300" w:lineRule="auto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未来二路</w:t>
            </w:r>
            <w:r w:rsidR="00AE5456" w:rsidRPr="00E96CBC">
              <w:rPr>
                <w:rFonts w:hint="eastAsia"/>
                <w:szCs w:val="21"/>
              </w:rPr>
              <w:t>位于东湖</w:t>
            </w:r>
            <w:r w:rsidR="00E96CBC" w:rsidRPr="00E96CBC">
              <w:rPr>
                <w:rFonts w:hint="eastAsia"/>
                <w:szCs w:val="21"/>
              </w:rPr>
              <w:t>高</w:t>
            </w:r>
            <w:r w:rsidR="00AE5456" w:rsidRPr="00E96CBC">
              <w:rPr>
                <w:rFonts w:hint="eastAsia"/>
                <w:szCs w:val="21"/>
              </w:rPr>
              <w:t>新技术开发区，是东湖高新区</w:t>
            </w:r>
            <w:r w:rsidR="0008732C">
              <w:rPr>
                <w:rFonts w:hint="eastAsia"/>
                <w:szCs w:val="21"/>
              </w:rPr>
              <w:t>东</w:t>
            </w:r>
            <w:r w:rsidR="00AE5456" w:rsidRPr="00E96CBC">
              <w:rPr>
                <w:rFonts w:hint="eastAsia"/>
                <w:szCs w:val="21"/>
              </w:rPr>
              <w:t>部重要的</w:t>
            </w:r>
            <w:r w:rsidR="0008732C">
              <w:rPr>
                <w:rFonts w:hint="eastAsia"/>
                <w:szCs w:val="21"/>
              </w:rPr>
              <w:t>南北</w:t>
            </w:r>
            <w:r w:rsidR="00AE5456" w:rsidRPr="00E96CBC">
              <w:rPr>
                <w:rFonts w:hint="eastAsia"/>
                <w:szCs w:val="21"/>
              </w:rPr>
              <w:t>向城市</w:t>
            </w:r>
            <w:r w:rsidR="0008732C">
              <w:rPr>
                <w:rFonts w:hint="eastAsia"/>
                <w:szCs w:val="21"/>
              </w:rPr>
              <w:t>主</w:t>
            </w:r>
            <w:r w:rsidR="00AE5456" w:rsidRPr="00E96CBC">
              <w:rPr>
                <w:rFonts w:hint="eastAsia"/>
                <w:szCs w:val="21"/>
              </w:rPr>
              <w:t>干路。</w:t>
            </w:r>
            <w:r w:rsidR="000A6736" w:rsidRPr="00E96CBC">
              <w:rPr>
                <w:rFonts w:hint="eastAsia"/>
                <w:szCs w:val="21"/>
              </w:rPr>
              <w:t>为进一步提升东湖高新区城市能级和城市品质，改善区域配套市政基础设施</w:t>
            </w:r>
            <w:r w:rsidR="000A6736" w:rsidRPr="00E96CBC">
              <w:rPr>
                <w:szCs w:val="21"/>
              </w:rPr>
              <w:t>，</w:t>
            </w:r>
            <w:r w:rsidR="000A6736" w:rsidRPr="00E96CBC">
              <w:rPr>
                <w:rFonts w:hint="eastAsia"/>
                <w:szCs w:val="21"/>
              </w:rPr>
              <w:t>本次</w:t>
            </w:r>
            <w:r w:rsidR="000A6736" w:rsidRPr="00E96CBC">
              <w:rPr>
                <w:szCs w:val="21"/>
              </w:rPr>
              <w:t>拟</w:t>
            </w:r>
            <w:r w:rsidR="00AE5456" w:rsidRPr="00E96CBC">
              <w:rPr>
                <w:rFonts w:hint="eastAsia"/>
                <w:szCs w:val="21"/>
              </w:rPr>
              <w:t>改造</w:t>
            </w:r>
            <w:r w:rsidR="000A6736" w:rsidRPr="00E96CBC">
              <w:rPr>
                <w:rFonts w:hint="eastAsia"/>
                <w:szCs w:val="21"/>
              </w:rPr>
              <w:t>工程</w:t>
            </w:r>
            <w:r w:rsidR="00A90E22" w:rsidRPr="00E96CBC">
              <w:rPr>
                <w:szCs w:val="21"/>
              </w:rPr>
              <w:t>确定</w:t>
            </w:r>
            <w:r w:rsidR="000A6736" w:rsidRPr="00E96CBC">
              <w:rPr>
                <w:rFonts w:hint="eastAsia"/>
                <w:szCs w:val="21"/>
              </w:rPr>
              <w:t>为</w:t>
            </w:r>
            <w:r w:rsidR="00AE5456" w:rsidRPr="00E96CBC">
              <w:rPr>
                <w:szCs w:val="21"/>
              </w:rPr>
              <w:t>《</w:t>
            </w:r>
            <w:r w:rsidR="0008732C">
              <w:rPr>
                <w:rFonts w:hint="eastAsia"/>
                <w:szCs w:val="21"/>
              </w:rPr>
              <w:t>未来二路（科技五路</w:t>
            </w:r>
            <w:r w:rsidR="0008732C">
              <w:rPr>
                <w:rFonts w:hint="eastAsia"/>
                <w:szCs w:val="21"/>
              </w:rPr>
              <w:t>~</w:t>
            </w:r>
            <w:r w:rsidR="0008732C">
              <w:rPr>
                <w:rFonts w:hint="eastAsia"/>
                <w:szCs w:val="21"/>
              </w:rPr>
              <w:t>高新大道）</w:t>
            </w:r>
            <w:r w:rsidR="00E96CBC" w:rsidRPr="00E96CBC">
              <w:rPr>
                <w:rFonts w:hint="eastAsia"/>
                <w:szCs w:val="21"/>
              </w:rPr>
              <w:t>综合改造工程</w:t>
            </w:r>
            <w:r w:rsidR="00AE5456" w:rsidRPr="00E96CBC">
              <w:rPr>
                <w:szCs w:val="21"/>
              </w:rPr>
              <w:t>》</w:t>
            </w:r>
            <w:r w:rsidR="00AE5456" w:rsidRPr="00E96CBC">
              <w:rPr>
                <w:rFonts w:hint="eastAsia"/>
                <w:szCs w:val="21"/>
              </w:rPr>
              <w:t>，</w:t>
            </w:r>
            <w:r w:rsidR="00A90E22" w:rsidRPr="00E96CBC">
              <w:rPr>
                <w:rFonts w:hint="eastAsia"/>
                <w:szCs w:val="21"/>
              </w:rPr>
              <w:t>建设</w:t>
            </w:r>
            <w:r w:rsidR="00A90E22" w:rsidRPr="00E96CBC">
              <w:rPr>
                <w:szCs w:val="21"/>
              </w:rPr>
              <w:t>项目的主要内容包括道路工程、排水工程、交通工程、绿化工程、照明工程。</w:t>
            </w:r>
            <w:bookmarkStart w:id="0" w:name="_GoBack"/>
            <w:bookmarkEnd w:id="0"/>
          </w:p>
          <w:p w:rsidR="002D611F" w:rsidRPr="00E96CBC" w:rsidRDefault="0008732C" w:rsidP="00E96CBC">
            <w:pPr>
              <w:spacing w:line="300" w:lineRule="auto"/>
              <w:ind w:firstLineChars="200" w:firstLine="420"/>
              <w:rPr>
                <w:b/>
                <w:szCs w:val="21"/>
              </w:rPr>
            </w:pPr>
            <w:r>
              <w:rPr>
                <w:rFonts w:hint="eastAsia"/>
                <w:szCs w:val="21"/>
              </w:rPr>
              <w:t>未来二路（科技五路</w:t>
            </w:r>
            <w:r>
              <w:rPr>
                <w:rFonts w:hint="eastAsia"/>
                <w:szCs w:val="21"/>
              </w:rPr>
              <w:t>~</w:t>
            </w:r>
            <w:r>
              <w:rPr>
                <w:rFonts w:hint="eastAsia"/>
                <w:szCs w:val="21"/>
              </w:rPr>
              <w:t>高新大道）</w:t>
            </w:r>
            <w:r w:rsidR="00E96CBC" w:rsidRPr="00E96CBC">
              <w:rPr>
                <w:rFonts w:hint="eastAsia"/>
                <w:szCs w:val="21"/>
              </w:rPr>
              <w:t>综合改造工程</w:t>
            </w:r>
            <w:r w:rsidR="00CB13AC" w:rsidRPr="00E96CBC">
              <w:rPr>
                <w:rFonts w:hint="eastAsia"/>
                <w:szCs w:val="21"/>
              </w:rPr>
              <w:t>建设范围</w:t>
            </w:r>
            <w:r>
              <w:rPr>
                <w:rFonts w:hint="eastAsia"/>
                <w:szCs w:val="21"/>
              </w:rPr>
              <w:t>南起</w:t>
            </w:r>
            <w:r w:rsidR="00CB13AC" w:rsidRPr="00E96CBC">
              <w:rPr>
                <w:rFonts w:hint="eastAsia"/>
                <w:szCs w:val="21"/>
              </w:rPr>
              <w:t>起</w:t>
            </w:r>
            <w:r>
              <w:rPr>
                <w:rFonts w:hint="eastAsia"/>
                <w:szCs w:val="21"/>
              </w:rPr>
              <w:t>科技五路</w:t>
            </w:r>
            <w:r w:rsidR="00CB13AC" w:rsidRPr="00E96CBC">
              <w:rPr>
                <w:szCs w:val="21"/>
              </w:rPr>
              <w:t>，</w:t>
            </w:r>
            <w:r>
              <w:rPr>
                <w:rFonts w:hint="eastAsia"/>
                <w:szCs w:val="21"/>
              </w:rPr>
              <w:t>北至高新大道</w:t>
            </w:r>
            <w:r w:rsidR="00CB13AC" w:rsidRPr="00E96CBC">
              <w:rPr>
                <w:rFonts w:hint="eastAsia"/>
                <w:szCs w:val="21"/>
              </w:rPr>
              <w:t>，道路全长</w:t>
            </w:r>
            <w:r w:rsidR="00E96CBC" w:rsidRPr="00E96CBC">
              <w:rPr>
                <w:rFonts w:hint="eastAsia"/>
                <w:szCs w:val="21"/>
              </w:rPr>
              <w:t>约</w:t>
            </w:r>
            <w:r>
              <w:rPr>
                <w:szCs w:val="21"/>
              </w:rPr>
              <w:t>2.8</w:t>
            </w:r>
            <w:r w:rsidR="00E96CBC" w:rsidRPr="00E96CBC">
              <w:rPr>
                <w:szCs w:val="21"/>
              </w:rPr>
              <w:t>k</w:t>
            </w:r>
            <w:r w:rsidR="00CB13AC" w:rsidRPr="00E96CBC">
              <w:rPr>
                <w:rFonts w:hint="eastAsia"/>
                <w:szCs w:val="21"/>
              </w:rPr>
              <w:t>m</w:t>
            </w:r>
            <w:r w:rsidR="00CB13AC" w:rsidRPr="00E96CBC">
              <w:rPr>
                <w:rFonts w:hint="eastAsia"/>
                <w:szCs w:val="21"/>
              </w:rPr>
              <w:t>，红线宽</w:t>
            </w:r>
            <w:r>
              <w:rPr>
                <w:szCs w:val="21"/>
              </w:rPr>
              <w:t>6</w:t>
            </w:r>
            <w:r w:rsidR="00CB13AC" w:rsidRPr="00E96CBC">
              <w:rPr>
                <w:rFonts w:hint="eastAsia"/>
                <w:szCs w:val="21"/>
              </w:rPr>
              <w:t>0m</w:t>
            </w:r>
            <w:r w:rsidR="00CB13AC" w:rsidRPr="00E96CBC">
              <w:rPr>
                <w:rFonts w:hint="eastAsia"/>
                <w:szCs w:val="21"/>
              </w:rPr>
              <w:t>。本次改造内容具体包括机动车道路面改造、人行道及非机动车道</w:t>
            </w:r>
            <w:r>
              <w:rPr>
                <w:rFonts w:hint="eastAsia"/>
                <w:szCs w:val="21"/>
              </w:rPr>
              <w:t>改造</w:t>
            </w:r>
            <w:r w:rsidR="00CB13AC" w:rsidRPr="00E96CBC">
              <w:rPr>
                <w:rFonts w:hint="eastAsia"/>
                <w:szCs w:val="21"/>
              </w:rPr>
              <w:t>、绿化带</w:t>
            </w:r>
            <w:r w:rsidR="00E96CBC" w:rsidRPr="00E96CBC">
              <w:rPr>
                <w:rFonts w:hint="eastAsia"/>
                <w:szCs w:val="21"/>
              </w:rPr>
              <w:t>重建</w:t>
            </w:r>
            <w:r w:rsidR="00CB13AC" w:rsidRPr="00E96CBC">
              <w:rPr>
                <w:rFonts w:hint="eastAsia"/>
                <w:szCs w:val="21"/>
              </w:rPr>
              <w:t>、</w:t>
            </w:r>
            <w:r w:rsidR="00E96CBC" w:rsidRPr="00E96CBC">
              <w:rPr>
                <w:rFonts w:hint="eastAsia"/>
                <w:szCs w:val="21"/>
              </w:rPr>
              <w:t>机动车道</w:t>
            </w:r>
            <w:r w:rsidR="00CB13AC" w:rsidRPr="00E96CBC">
              <w:rPr>
                <w:rFonts w:hint="eastAsia"/>
                <w:szCs w:val="21"/>
              </w:rPr>
              <w:t>新建</w:t>
            </w:r>
            <w:r w:rsidR="00E96CBC" w:rsidRPr="00E96CBC">
              <w:rPr>
                <w:rFonts w:hint="eastAsia"/>
                <w:szCs w:val="21"/>
              </w:rPr>
              <w:t>两</w:t>
            </w:r>
            <w:r w:rsidR="00CB13AC" w:rsidRPr="00E96CBC">
              <w:rPr>
                <w:rFonts w:hint="eastAsia"/>
                <w:szCs w:val="21"/>
              </w:rPr>
              <w:t>排雨水</w:t>
            </w:r>
            <w:r w:rsidR="00E96CBC" w:rsidRPr="00E96CBC">
              <w:rPr>
                <w:rFonts w:hint="eastAsia"/>
                <w:szCs w:val="21"/>
              </w:rPr>
              <w:t>管道</w:t>
            </w:r>
            <w:r w:rsidR="00CB13AC" w:rsidRPr="00E96CBC">
              <w:rPr>
                <w:rFonts w:hint="eastAsia"/>
                <w:szCs w:val="21"/>
              </w:rPr>
              <w:t>、</w:t>
            </w:r>
            <w:r w:rsidR="00E96CBC" w:rsidRPr="00E96CBC">
              <w:rPr>
                <w:rFonts w:hint="eastAsia"/>
                <w:szCs w:val="21"/>
              </w:rPr>
              <w:t>现状保留雨</w:t>
            </w:r>
            <w:r w:rsidR="00E96CBC" w:rsidRPr="00E96CBC">
              <w:rPr>
                <w:szCs w:val="21"/>
              </w:rPr>
              <w:t>、</w:t>
            </w:r>
            <w:r w:rsidR="00E96CBC" w:rsidRPr="00E96CBC">
              <w:rPr>
                <w:rFonts w:hint="eastAsia"/>
                <w:szCs w:val="21"/>
              </w:rPr>
              <w:t>污水主管涵</w:t>
            </w:r>
            <w:r w:rsidR="00E96CBC" w:rsidRPr="00E96CBC">
              <w:rPr>
                <w:szCs w:val="21"/>
              </w:rPr>
              <w:t>修复</w:t>
            </w:r>
            <w:r w:rsidR="00CB13AC" w:rsidRPr="00E96CBC">
              <w:rPr>
                <w:rFonts w:hint="eastAsia"/>
                <w:szCs w:val="21"/>
              </w:rPr>
              <w:t>、新建智慧路灯及交通设施等。</w:t>
            </w:r>
          </w:p>
          <w:p w:rsidR="00E96CBC" w:rsidRDefault="00E96CBC" w:rsidP="00E96CBC">
            <w:pPr>
              <w:spacing w:line="30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测量</w:t>
            </w:r>
            <w:r>
              <w:rPr>
                <w:b/>
                <w:szCs w:val="21"/>
              </w:rPr>
              <w:t>范围</w:t>
            </w:r>
            <w:r>
              <w:rPr>
                <w:rFonts w:hint="eastAsia"/>
                <w:b/>
                <w:szCs w:val="21"/>
              </w:rPr>
              <w:t>：</w:t>
            </w:r>
          </w:p>
          <w:p w:rsidR="00871387" w:rsidRDefault="002D611F" w:rsidP="00E96CBC">
            <w:pPr>
              <w:spacing w:line="300" w:lineRule="auto"/>
              <w:ind w:firstLineChars="200" w:firstLine="420"/>
              <w:rPr>
                <w:b/>
                <w:szCs w:val="21"/>
              </w:rPr>
            </w:pPr>
            <w:r w:rsidRPr="00E96CBC">
              <w:rPr>
                <w:rFonts w:hint="eastAsia"/>
                <w:szCs w:val="21"/>
              </w:rPr>
              <w:t>为摸清管网内部情况，需对范围内现状排水管</w:t>
            </w:r>
            <w:r w:rsidR="00E96CBC" w:rsidRPr="00E96CBC">
              <w:rPr>
                <w:rFonts w:hint="eastAsia"/>
                <w:szCs w:val="21"/>
              </w:rPr>
              <w:t>及检查</w:t>
            </w:r>
            <w:r w:rsidR="00E96CBC" w:rsidRPr="00E96CBC">
              <w:rPr>
                <w:szCs w:val="21"/>
              </w:rPr>
              <w:t>井</w:t>
            </w:r>
            <w:r w:rsidRPr="00E96CBC">
              <w:rPr>
                <w:rFonts w:hint="eastAsia"/>
                <w:szCs w:val="21"/>
              </w:rPr>
              <w:t>进行检测、评估。内容包括结构性</w:t>
            </w:r>
            <w:r w:rsidR="008575E2" w:rsidRPr="00E96CBC">
              <w:rPr>
                <w:rFonts w:hint="eastAsia"/>
                <w:szCs w:val="21"/>
              </w:rPr>
              <w:t>检测评估以及功能性检测评估</w:t>
            </w:r>
            <w:r w:rsidR="00E96CBC" w:rsidRPr="00E96CBC">
              <w:rPr>
                <w:rFonts w:hint="eastAsia"/>
                <w:szCs w:val="21"/>
              </w:rPr>
              <w:t>（含</w:t>
            </w:r>
            <w:r w:rsidR="00E96CBC" w:rsidRPr="00E96CBC">
              <w:rPr>
                <w:rFonts w:hint="eastAsia"/>
                <w:bCs/>
                <w:szCs w:val="21"/>
              </w:rPr>
              <w:t>管网淤积量检测</w:t>
            </w:r>
            <w:r w:rsidR="00E96CBC" w:rsidRPr="00E96CBC">
              <w:rPr>
                <w:rFonts w:hint="eastAsia"/>
                <w:szCs w:val="21"/>
              </w:rPr>
              <w:t>）</w:t>
            </w:r>
            <w:r w:rsidR="008575E2" w:rsidRPr="00E96CBC">
              <w:rPr>
                <w:rFonts w:hint="eastAsia"/>
                <w:szCs w:val="21"/>
              </w:rPr>
              <w:t>。</w:t>
            </w:r>
            <w:r w:rsidR="00E96CBC" w:rsidRPr="00E96CBC">
              <w:rPr>
                <w:rFonts w:hint="eastAsia"/>
                <w:szCs w:val="21"/>
              </w:rPr>
              <w:t>CCTV</w:t>
            </w:r>
            <w:r w:rsidR="008575E2" w:rsidRPr="00E96CBC">
              <w:rPr>
                <w:rFonts w:hint="eastAsia"/>
                <w:szCs w:val="21"/>
              </w:rPr>
              <w:t>检测范围为红线范围内的所有现状</w:t>
            </w:r>
            <w:r w:rsidR="00E96CBC" w:rsidRPr="00E96CBC">
              <w:rPr>
                <w:rFonts w:hint="eastAsia"/>
                <w:szCs w:val="21"/>
              </w:rPr>
              <w:t>保留</w:t>
            </w:r>
            <w:r w:rsidR="008575E2" w:rsidRPr="00E96CBC">
              <w:rPr>
                <w:rFonts w:hint="eastAsia"/>
                <w:szCs w:val="21"/>
              </w:rPr>
              <w:t>雨</w:t>
            </w:r>
            <w:r w:rsidR="00585DBC" w:rsidRPr="00E96CBC">
              <w:rPr>
                <w:rFonts w:hint="eastAsia"/>
                <w:szCs w:val="21"/>
              </w:rPr>
              <w:t>、</w:t>
            </w:r>
            <w:r w:rsidR="008575E2" w:rsidRPr="00E96CBC">
              <w:rPr>
                <w:rFonts w:hint="eastAsia"/>
                <w:szCs w:val="21"/>
              </w:rPr>
              <w:t>污水</w:t>
            </w:r>
            <w:r w:rsidRPr="00E96CBC">
              <w:rPr>
                <w:rFonts w:hint="eastAsia"/>
                <w:szCs w:val="21"/>
              </w:rPr>
              <w:t>管道</w:t>
            </w:r>
            <w:r w:rsidR="00E96CBC" w:rsidRPr="00E96CBC">
              <w:rPr>
                <w:rFonts w:hint="eastAsia"/>
                <w:szCs w:val="21"/>
              </w:rPr>
              <w:t>及检查</w:t>
            </w:r>
            <w:r w:rsidR="00E96CBC" w:rsidRPr="00E96CBC">
              <w:rPr>
                <w:szCs w:val="21"/>
              </w:rPr>
              <w:t>井</w:t>
            </w:r>
            <w:r w:rsidR="00E96CBC" w:rsidRPr="00E96CBC">
              <w:rPr>
                <w:rFonts w:hint="eastAsia"/>
                <w:szCs w:val="21"/>
              </w:rPr>
              <w:t>，包括道路主线方向和路口主管及检查</w:t>
            </w:r>
            <w:r w:rsidR="00E96CBC" w:rsidRPr="00E96CBC">
              <w:rPr>
                <w:szCs w:val="21"/>
              </w:rPr>
              <w:t>井</w:t>
            </w:r>
            <w:r w:rsidR="00E96CBC" w:rsidRPr="00E96CBC">
              <w:rPr>
                <w:rFonts w:hint="eastAsia"/>
                <w:szCs w:val="21"/>
              </w:rPr>
              <w:t>、接地块支管（井），但</w:t>
            </w:r>
            <w:r w:rsidR="00E96CBC" w:rsidRPr="00E96CBC">
              <w:rPr>
                <w:szCs w:val="21"/>
              </w:rPr>
              <w:t>不包括雨水口及连接管</w:t>
            </w:r>
            <w:r w:rsidR="00E96CBC" w:rsidRPr="00E96CBC">
              <w:rPr>
                <w:rFonts w:hint="eastAsia"/>
                <w:szCs w:val="21"/>
              </w:rPr>
              <w:t>，</w:t>
            </w:r>
            <w:r w:rsidR="00E96CBC">
              <w:rPr>
                <w:rFonts w:hint="eastAsia"/>
                <w:b/>
                <w:bCs/>
                <w:szCs w:val="21"/>
              </w:rPr>
              <w:t>（图中标注×号的规划拟废除管线无需检测）</w:t>
            </w:r>
            <w:r w:rsidR="00E96CBC">
              <w:rPr>
                <w:rFonts w:hint="eastAsia"/>
              </w:rPr>
              <w:t>，具体详见</w:t>
            </w:r>
            <w:r w:rsidR="00E96CBC">
              <w:rPr>
                <w:rFonts w:hint="eastAsia"/>
              </w:rPr>
              <w:t>CAD</w:t>
            </w:r>
            <w:r w:rsidR="00E96CBC">
              <w:rPr>
                <w:rFonts w:hint="eastAsia"/>
              </w:rPr>
              <w:t>平面附图电子版</w:t>
            </w:r>
            <w:r>
              <w:rPr>
                <w:rFonts w:hint="eastAsia"/>
                <w:b/>
                <w:szCs w:val="21"/>
              </w:rPr>
              <w:t>。</w:t>
            </w:r>
          </w:p>
          <w:p w:rsidR="00E96CBC" w:rsidRDefault="00E96CBC" w:rsidP="00E96CBC">
            <w:pPr>
              <w:spacing w:line="30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测量要求</w:t>
            </w:r>
            <w:r>
              <w:rPr>
                <w:b/>
                <w:szCs w:val="21"/>
              </w:rPr>
              <w:t>：</w:t>
            </w:r>
          </w:p>
          <w:p w:rsidR="00871387" w:rsidRPr="00E96CBC" w:rsidRDefault="002D611F" w:rsidP="00E96CBC">
            <w:pPr>
              <w:spacing w:line="360" w:lineRule="exact"/>
              <w:ind w:firstLineChars="200" w:firstLine="420"/>
              <w:rPr>
                <w:bCs/>
                <w:szCs w:val="21"/>
              </w:rPr>
            </w:pPr>
            <w:r w:rsidRPr="00E96CBC">
              <w:rPr>
                <w:rFonts w:hint="eastAsia"/>
              </w:rPr>
              <w:t>对排水管道进行</w:t>
            </w:r>
            <w:r w:rsidRPr="00E96CBC">
              <w:rPr>
                <w:rFonts w:hint="eastAsia"/>
              </w:rPr>
              <w:t>CCTV</w:t>
            </w:r>
            <w:r w:rsidRPr="00E96CBC">
              <w:rPr>
                <w:rFonts w:hint="eastAsia"/>
              </w:rPr>
              <w:t>检测，提供管道灾害调查图（破损管、断头管（封堵的管道及盲管）、接口错位管、管道塌陷、塑料管道严重变形等），提供灾害管道详细的位置标注、图片、文字说明。管道</w:t>
            </w:r>
            <w:r w:rsidR="00E96CBC" w:rsidRPr="00E96CBC">
              <w:rPr>
                <w:rFonts w:hint="eastAsia"/>
              </w:rPr>
              <w:t>及</w:t>
            </w:r>
            <w:r w:rsidR="00E96CBC" w:rsidRPr="00E96CBC">
              <w:t>检查井</w:t>
            </w:r>
            <w:r w:rsidRPr="00E96CBC">
              <w:rPr>
                <w:rFonts w:hint="eastAsia"/>
              </w:rPr>
              <w:t>淤积调查、标明管段位置、管径、淤积深度等。</w:t>
            </w:r>
            <w:r w:rsidRPr="00E96CBC">
              <w:rPr>
                <w:rFonts w:hint="eastAsia"/>
                <w:bCs/>
                <w:szCs w:val="21"/>
              </w:rPr>
              <w:t>具体要求需满足现行《城镇排水管道检测与评估技术规程》，并提供正式检测、评估报告</w:t>
            </w:r>
            <w:r w:rsidR="00E96CBC" w:rsidRPr="00E96CBC">
              <w:rPr>
                <w:rFonts w:hint="eastAsia"/>
                <w:bCs/>
                <w:szCs w:val="21"/>
              </w:rPr>
              <w:t>和管网淤积量检测</w:t>
            </w:r>
            <w:r w:rsidR="00E96CBC" w:rsidRPr="00E96CBC">
              <w:rPr>
                <w:bCs/>
                <w:szCs w:val="21"/>
              </w:rPr>
              <w:t>报告</w:t>
            </w:r>
            <w:r w:rsidRPr="00E96CBC">
              <w:rPr>
                <w:rFonts w:hint="eastAsia"/>
                <w:bCs/>
                <w:szCs w:val="21"/>
              </w:rPr>
              <w:t>，报告包含附图，图中具体标明具体缺陷主要参数及位置等信息。</w:t>
            </w:r>
          </w:p>
          <w:p w:rsidR="00E96CBC" w:rsidRPr="00E96CBC" w:rsidRDefault="00E96CBC" w:rsidP="00E96CBC">
            <w:pPr>
              <w:spacing w:line="360" w:lineRule="exact"/>
              <w:ind w:firstLineChars="200" w:firstLine="420"/>
            </w:pPr>
          </w:p>
          <w:p w:rsidR="00871387" w:rsidRDefault="002D611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项目负责人：</w:t>
            </w:r>
            <w:r>
              <w:rPr>
                <w:rFonts w:hint="eastAsia"/>
                <w:szCs w:val="21"/>
              </w:rPr>
              <w:t>（签字）</w:t>
            </w:r>
            <w:r>
              <w:rPr>
                <w:rFonts w:ascii="宋体" w:hAnsi="宋体" w:hint="eastAsia"/>
                <w:szCs w:val="21"/>
              </w:rPr>
              <w:t xml:space="preserve">            专业负责人会签：</w:t>
            </w:r>
          </w:p>
          <w:p w:rsidR="00871387" w:rsidRDefault="002D611F">
            <w:pPr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批准人：</w:t>
            </w:r>
            <w:r>
              <w:rPr>
                <w:rFonts w:hint="eastAsia"/>
                <w:szCs w:val="21"/>
              </w:rPr>
              <w:t>（签字）</w:t>
            </w:r>
            <w:r>
              <w:rPr>
                <w:rFonts w:ascii="宋体" w:hAnsi="宋体" w:hint="eastAsia"/>
                <w:szCs w:val="21"/>
              </w:rPr>
              <w:t xml:space="preserve">                          年   月   日</w:t>
            </w:r>
          </w:p>
        </w:tc>
      </w:tr>
    </w:tbl>
    <w:p w:rsidR="00E96CBC" w:rsidRPr="005D1B29" w:rsidRDefault="00E96CBC" w:rsidP="00E96CBC">
      <w:pPr>
        <w:spacing w:line="360" w:lineRule="exact"/>
        <w:ind w:firstLineChars="300" w:firstLine="630"/>
        <w:jc w:val="center"/>
      </w:pPr>
      <w:r>
        <w:rPr>
          <w:rFonts w:hint="eastAsia"/>
        </w:rPr>
        <w:lastRenderedPageBreak/>
        <w:t>附表</w:t>
      </w:r>
      <w:r>
        <w:t>：</w:t>
      </w:r>
      <w:r w:rsidRPr="005D1B29">
        <w:rPr>
          <w:rFonts w:hint="eastAsia"/>
        </w:rPr>
        <w:t>淤积</w:t>
      </w:r>
      <w:r w:rsidRPr="005D1B29">
        <w:t>深度</w:t>
      </w:r>
      <w:r w:rsidRPr="005D1B29">
        <w:rPr>
          <w:rFonts w:hint="eastAsia"/>
        </w:rPr>
        <w:t>原始</w:t>
      </w:r>
      <w:r w:rsidRPr="005D1B29">
        <w:t>数据</w:t>
      </w:r>
      <w:r w:rsidRPr="005D1B29">
        <w:rPr>
          <w:rFonts w:hint="eastAsia"/>
        </w:rPr>
        <w:t>样</w:t>
      </w:r>
      <w:r w:rsidRPr="005D1B29">
        <w:t>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"/>
        <w:gridCol w:w="1802"/>
        <w:gridCol w:w="999"/>
        <w:gridCol w:w="1249"/>
        <w:gridCol w:w="1330"/>
        <w:gridCol w:w="1230"/>
      </w:tblGrid>
      <w:tr w:rsidR="00E96CBC" w:rsidTr="00882ED7">
        <w:trPr>
          <w:trHeight w:val="480"/>
          <w:jc w:val="center"/>
        </w:trPr>
        <w:tc>
          <w:tcPr>
            <w:tcW w:w="43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E96CBC" w:rsidRDefault="00E96CBC" w:rsidP="00882ED7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0"/>
              </w:rPr>
              <w:t>序号</w:t>
            </w:r>
          </w:p>
        </w:tc>
        <w:tc>
          <w:tcPr>
            <w:tcW w:w="1802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E96CBC" w:rsidRDefault="00E96CBC" w:rsidP="00882ED7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0"/>
              </w:rPr>
              <w:t>管段编码</w:t>
            </w:r>
          </w:p>
        </w:tc>
        <w:tc>
          <w:tcPr>
            <w:tcW w:w="999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E96CBC" w:rsidRDefault="00E96CBC" w:rsidP="00882ED7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0"/>
              </w:rPr>
              <w:t>管径（mm)</w:t>
            </w:r>
          </w:p>
        </w:tc>
        <w:tc>
          <w:tcPr>
            <w:tcW w:w="1249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E96CBC" w:rsidRDefault="00E96CBC" w:rsidP="00882ED7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0"/>
              </w:rPr>
              <w:t>起始泥深（cm）</w:t>
            </w:r>
          </w:p>
        </w:tc>
        <w:tc>
          <w:tcPr>
            <w:tcW w:w="133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E96CBC" w:rsidRDefault="00E96CBC" w:rsidP="00882ED7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0"/>
              </w:rPr>
              <w:t>终止泥深（cm)</w:t>
            </w:r>
          </w:p>
        </w:tc>
        <w:tc>
          <w:tcPr>
            <w:tcW w:w="123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E96CBC" w:rsidRDefault="00E96CBC" w:rsidP="00882ED7">
            <w:pPr>
              <w:widowControl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kern w:val="0"/>
                <w:sz w:val="20"/>
              </w:rPr>
              <w:t>管段长度（m)</w:t>
            </w:r>
          </w:p>
        </w:tc>
      </w:tr>
      <w:tr w:rsidR="00E96CBC" w:rsidTr="00882ED7">
        <w:trPr>
          <w:trHeight w:val="270"/>
          <w:jc w:val="center"/>
        </w:trPr>
        <w:tc>
          <w:tcPr>
            <w:tcW w:w="4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96CBC" w:rsidRDefault="00E96CBC" w:rsidP="00882ED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1</w:t>
            </w:r>
          </w:p>
        </w:tc>
        <w:tc>
          <w:tcPr>
            <w:tcW w:w="1802" w:type="dxa"/>
            <w:shd w:val="clear" w:color="auto" w:fill="FFFFFF"/>
            <w:tcMar>
              <w:top w:w="15" w:type="dxa"/>
              <w:left w:w="15" w:type="dxa"/>
              <w:right w:w="15" w:type="dxa"/>
            </w:tcMar>
          </w:tcPr>
          <w:p w:rsidR="00E96CBC" w:rsidRDefault="00E96CBC" w:rsidP="00E96CBC">
            <w:pPr>
              <w:widowControl/>
              <w:spacing w:line="480" w:lineRule="auto"/>
              <w:jc w:val="center"/>
              <w:textAlignment w:val="top"/>
              <w:rPr>
                <w:rFonts w:ascii="新宋体" w:eastAsia="新宋体" w:hAnsi="新宋体" w:cs="宋体"/>
                <w:color w:val="000000"/>
                <w:sz w:val="20"/>
              </w:rPr>
            </w:pPr>
            <w:r>
              <w:rPr>
                <w:rFonts w:ascii="新宋体" w:eastAsia="新宋体" w:hAnsi="新宋体" w:cs="宋体"/>
                <w:color w:val="000000"/>
                <w:sz w:val="20"/>
              </w:rPr>
              <w:t>XXX</w:t>
            </w:r>
            <w:r>
              <w:rPr>
                <w:rFonts w:ascii="新宋体" w:eastAsia="新宋体" w:hAnsi="新宋体" w:cs="宋体" w:hint="eastAsia"/>
                <w:color w:val="000000"/>
                <w:sz w:val="20"/>
              </w:rPr>
              <w:t>-</w:t>
            </w:r>
            <w:r>
              <w:rPr>
                <w:rFonts w:ascii="新宋体" w:eastAsia="新宋体" w:hAnsi="新宋体" w:cs="宋体"/>
                <w:color w:val="000000"/>
                <w:sz w:val="20"/>
              </w:rPr>
              <w:t>XXX</w:t>
            </w:r>
          </w:p>
        </w:tc>
        <w:tc>
          <w:tcPr>
            <w:tcW w:w="999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E96CBC" w:rsidRDefault="00E96CBC" w:rsidP="00882ED7">
            <w:pPr>
              <w:widowControl/>
              <w:spacing w:line="480" w:lineRule="auto"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sz w:val="20"/>
              </w:rPr>
              <w:t>800</w:t>
            </w:r>
          </w:p>
        </w:tc>
        <w:tc>
          <w:tcPr>
            <w:tcW w:w="1249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E96CBC" w:rsidRDefault="00E96CBC" w:rsidP="00882ED7">
            <w:pPr>
              <w:jc w:val="center"/>
              <w:rPr>
                <w:rFonts w:ascii="新宋体" w:eastAsia="新宋体" w:hAnsi="新宋体" w:cs="宋体"/>
                <w:color w:val="000000"/>
                <w:sz w:val="20"/>
              </w:rPr>
            </w:pPr>
            <w:r>
              <w:rPr>
                <w:rFonts w:ascii="新宋体" w:eastAsia="新宋体" w:hAnsi="新宋体" w:hint="eastAsia"/>
                <w:color w:val="000000"/>
                <w:sz w:val="20"/>
              </w:rPr>
              <w:t>20</w:t>
            </w:r>
          </w:p>
        </w:tc>
        <w:tc>
          <w:tcPr>
            <w:tcW w:w="133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E96CBC" w:rsidRDefault="00E96CBC" w:rsidP="00882ED7">
            <w:pPr>
              <w:jc w:val="center"/>
              <w:rPr>
                <w:rFonts w:ascii="新宋体" w:eastAsia="新宋体" w:hAnsi="新宋体" w:cs="宋体"/>
                <w:color w:val="000000"/>
                <w:sz w:val="20"/>
              </w:rPr>
            </w:pPr>
            <w:r>
              <w:rPr>
                <w:rFonts w:ascii="新宋体" w:eastAsia="新宋体" w:hAnsi="新宋体" w:hint="eastAsia"/>
                <w:color w:val="000000"/>
                <w:sz w:val="20"/>
              </w:rPr>
              <w:t>18</w:t>
            </w:r>
          </w:p>
        </w:tc>
        <w:tc>
          <w:tcPr>
            <w:tcW w:w="1230" w:type="dxa"/>
            <w:tcMar>
              <w:top w:w="15" w:type="dxa"/>
              <w:left w:w="15" w:type="dxa"/>
              <w:right w:w="15" w:type="dxa"/>
            </w:tcMar>
          </w:tcPr>
          <w:p w:rsidR="00E96CBC" w:rsidRDefault="00E96CBC" w:rsidP="00882ED7">
            <w:pPr>
              <w:widowControl/>
              <w:spacing w:line="480" w:lineRule="auto"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sz w:val="20"/>
              </w:rPr>
              <w:t>70.11</w:t>
            </w:r>
          </w:p>
        </w:tc>
      </w:tr>
      <w:tr w:rsidR="00E96CBC" w:rsidTr="00882ED7">
        <w:trPr>
          <w:trHeight w:val="270"/>
          <w:jc w:val="center"/>
        </w:trPr>
        <w:tc>
          <w:tcPr>
            <w:tcW w:w="4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96CBC" w:rsidRDefault="00E96CBC" w:rsidP="00882ED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2</w:t>
            </w:r>
          </w:p>
        </w:tc>
        <w:tc>
          <w:tcPr>
            <w:tcW w:w="1802" w:type="dxa"/>
            <w:shd w:val="clear" w:color="auto" w:fill="FFFFFF"/>
            <w:tcMar>
              <w:top w:w="15" w:type="dxa"/>
              <w:left w:w="15" w:type="dxa"/>
              <w:right w:w="15" w:type="dxa"/>
            </w:tcMar>
          </w:tcPr>
          <w:p w:rsidR="00E96CBC" w:rsidRDefault="00E96CBC" w:rsidP="00882ED7">
            <w:pPr>
              <w:widowControl/>
              <w:spacing w:line="480" w:lineRule="auto"/>
              <w:jc w:val="center"/>
              <w:textAlignment w:val="top"/>
              <w:rPr>
                <w:rFonts w:ascii="新宋体" w:eastAsia="新宋体" w:hAnsi="新宋体" w:cs="宋体"/>
                <w:color w:val="000000"/>
                <w:sz w:val="20"/>
              </w:rPr>
            </w:pPr>
            <w:r>
              <w:rPr>
                <w:rFonts w:ascii="新宋体" w:eastAsia="新宋体" w:hAnsi="新宋体" w:cs="宋体"/>
                <w:color w:val="000000"/>
                <w:sz w:val="20"/>
              </w:rPr>
              <w:t>XXX</w:t>
            </w:r>
            <w:r>
              <w:rPr>
                <w:rFonts w:ascii="新宋体" w:eastAsia="新宋体" w:hAnsi="新宋体" w:cs="宋体" w:hint="eastAsia"/>
                <w:color w:val="000000"/>
                <w:sz w:val="20"/>
              </w:rPr>
              <w:t>-</w:t>
            </w:r>
            <w:r>
              <w:rPr>
                <w:rFonts w:ascii="新宋体" w:eastAsia="新宋体" w:hAnsi="新宋体" w:cs="宋体"/>
                <w:color w:val="000000"/>
                <w:sz w:val="20"/>
              </w:rPr>
              <w:t>XXX</w:t>
            </w:r>
          </w:p>
        </w:tc>
        <w:tc>
          <w:tcPr>
            <w:tcW w:w="999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E96CBC" w:rsidRDefault="00E96CBC" w:rsidP="00882ED7">
            <w:pPr>
              <w:widowControl/>
              <w:spacing w:line="480" w:lineRule="auto"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sz w:val="20"/>
              </w:rPr>
              <w:t>800</w:t>
            </w:r>
          </w:p>
        </w:tc>
        <w:tc>
          <w:tcPr>
            <w:tcW w:w="1249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E96CBC" w:rsidRDefault="00E96CBC" w:rsidP="00882ED7">
            <w:pPr>
              <w:jc w:val="center"/>
              <w:rPr>
                <w:rFonts w:ascii="新宋体" w:eastAsia="新宋体" w:hAnsi="新宋体" w:cs="宋体"/>
                <w:color w:val="000000"/>
                <w:sz w:val="20"/>
              </w:rPr>
            </w:pPr>
            <w:r>
              <w:rPr>
                <w:rFonts w:ascii="新宋体" w:eastAsia="新宋体" w:hAnsi="新宋体" w:hint="eastAsia"/>
                <w:color w:val="000000"/>
                <w:sz w:val="20"/>
              </w:rPr>
              <w:t>15</w:t>
            </w:r>
          </w:p>
        </w:tc>
        <w:tc>
          <w:tcPr>
            <w:tcW w:w="133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E96CBC" w:rsidRDefault="00E96CBC" w:rsidP="00882ED7">
            <w:pPr>
              <w:jc w:val="center"/>
              <w:rPr>
                <w:rFonts w:ascii="新宋体" w:eastAsia="新宋体" w:hAnsi="新宋体" w:cs="宋体"/>
                <w:color w:val="000000"/>
                <w:sz w:val="20"/>
              </w:rPr>
            </w:pPr>
            <w:r>
              <w:rPr>
                <w:rFonts w:ascii="新宋体" w:eastAsia="新宋体" w:hAnsi="新宋体" w:hint="eastAsia"/>
                <w:color w:val="000000"/>
                <w:sz w:val="20"/>
              </w:rPr>
              <w:t>19</w:t>
            </w:r>
          </w:p>
        </w:tc>
        <w:tc>
          <w:tcPr>
            <w:tcW w:w="1230" w:type="dxa"/>
            <w:tcMar>
              <w:top w:w="15" w:type="dxa"/>
              <w:left w:w="15" w:type="dxa"/>
              <w:right w:w="15" w:type="dxa"/>
            </w:tcMar>
          </w:tcPr>
          <w:p w:rsidR="00E96CBC" w:rsidRDefault="00E96CBC" w:rsidP="00882ED7">
            <w:pPr>
              <w:widowControl/>
              <w:spacing w:line="480" w:lineRule="auto"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sz w:val="20"/>
              </w:rPr>
              <w:t>68.59</w:t>
            </w:r>
          </w:p>
        </w:tc>
      </w:tr>
      <w:tr w:rsidR="00E96CBC" w:rsidTr="00882ED7">
        <w:trPr>
          <w:trHeight w:val="270"/>
          <w:jc w:val="center"/>
        </w:trPr>
        <w:tc>
          <w:tcPr>
            <w:tcW w:w="4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96CBC" w:rsidRDefault="00E96CBC" w:rsidP="00882ED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lang w:bidi="ar"/>
              </w:rPr>
              <w:t>3</w:t>
            </w:r>
          </w:p>
        </w:tc>
        <w:tc>
          <w:tcPr>
            <w:tcW w:w="1802" w:type="dxa"/>
            <w:shd w:val="clear" w:color="auto" w:fill="FFFFFF"/>
            <w:tcMar>
              <w:top w:w="15" w:type="dxa"/>
              <w:left w:w="15" w:type="dxa"/>
              <w:right w:w="15" w:type="dxa"/>
            </w:tcMar>
          </w:tcPr>
          <w:p w:rsidR="00E96CBC" w:rsidRDefault="00E96CBC" w:rsidP="00882ED7">
            <w:pPr>
              <w:widowControl/>
              <w:spacing w:line="480" w:lineRule="auto"/>
              <w:jc w:val="center"/>
              <w:textAlignment w:val="top"/>
              <w:rPr>
                <w:rFonts w:ascii="新宋体" w:eastAsia="新宋体" w:hAnsi="新宋体" w:cs="宋体"/>
                <w:color w:val="000000"/>
                <w:sz w:val="20"/>
              </w:rPr>
            </w:pPr>
            <w:r>
              <w:rPr>
                <w:rFonts w:ascii="新宋体" w:eastAsia="新宋体" w:hAnsi="新宋体" w:cs="宋体"/>
                <w:color w:val="000000"/>
                <w:sz w:val="20"/>
              </w:rPr>
              <w:t>XXX</w:t>
            </w:r>
            <w:r>
              <w:rPr>
                <w:rFonts w:ascii="新宋体" w:eastAsia="新宋体" w:hAnsi="新宋体" w:cs="宋体" w:hint="eastAsia"/>
                <w:color w:val="000000"/>
                <w:sz w:val="20"/>
              </w:rPr>
              <w:t>-</w:t>
            </w:r>
            <w:r>
              <w:rPr>
                <w:rFonts w:ascii="新宋体" w:eastAsia="新宋体" w:hAnsi="新宋体" w:cs="宋体"/>
                <w:color w:val="000000"/>
                <w:sz w:val="20"/>
              </w:rPr>
              <w:t>XXX</w:t>
            </w:r>
          </w:p>
        </w:tc>
        <w:tc>
          <w:tcPr>
            <w:tcW w:w="999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E96CBC" w:rsidRDefault="00E96CBC" w:rsidP="00882ED7">
            <w:pPr>
              <w:widowControl/>
              <w:spacing w:line="480" w:lineRule="auto"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sz w:val="20"/>
              </w:rPr>
              <w:t>800</w:t>
            </w:r>
          </w:p>
        </w:tc>
        <w:tc>
          <w:tcPr>
            <w:tcW w:w="1249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E96CBC" w:rsidRDefault="00E96CBC" w:rsidP="00882ED7">
            <w:pPr>
              <w:jc w:val="center"/>
              <w:rPr>
                <w:rFonts w:ascii="新宋体" w:eastAsia="新宋体" w:hAnsi="新宋体" w:cs="宋体"/>
                <w:color w:val="000000"/>
                <w:sz w:val="20"/>
              </w:rPr>
            </w:pPr>
            <w:r>
              <w:rPr>
                <w:rFonts w:ascii="新宋体" w:eastAsia="新宋体" w:hAnsi="新宋体" w:hint="eastAsia"/>
                <w:color w:val="000000"/>
                <w:sz w:val="20"/>
              </w:rPr>
              <w:t>20</w:t>
            </w:r>
          </w:p>
        </w:tc>
        <w:tc>
          <w:tcPr>
            <w:tcW w:w="1330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E96CBC" w:rsidRDefault="00E96CBC" w:rsidP="00882ED7">
            <w:pPr>
              <w:jc w:val="center"/>
              <w:rPr>
                <w:rFonts w:ascii="新宋体" w:eastAsia="新宋体" w:hAnsi="新宋体" w:cs="宋体"/>
                <w:color w:val="000000"/>
                <w:sz w:val="20"/>
              </w:rPr>
            </w:pPr>
            <w:r>
              <w:rPr>
                <w:rFonts w:ascii="新宋体" w:eastAsia="新宋体" w:hAnsi="新宋体" w:hint="eastAsia"/>
                <w:color w:val="000000"/>
                <w:sz w:val="20"/>
              </w:rPr>
              <w:t>22</w:t>
            </w:r>
          </w:p>
        </w:tc>
        <w:tc>
          <w:tcPr>
            <w:tcW w:w="1230" w:type="dxa"/>
            <w:tcMar>
              <w:top w:w="15" w:type="dxa"/>
              <w:left w:w="15" w:type="dxa"/>
              <w:right w:w="15" w:type="dxa"/>
            </w:tcMar>
          </w:tcPr>
          <w:p w:rsidR="00E96CBC" w:rsidRDefault="00E96CBC" w:rsidP="00882ED7">
            <w:pPr>
              <w:widowControl/>
              <w:spacing w:line="480" w:lineRule="auto"/>
              <w:jc w:val="center"/>
              <w:textAlignment w:val="center"/>
              <w:rPr>
                <w:rFonts w:ascii="新宋体" w:eastAsia="新宋体" w:hAnsi="新宋体" w:cs="新宋体"/>
                <w:color w:val="000000"/>
                <w:sz w:val="20"/>
              </w:rPr>
            </w:pPr>
            <w:r>
              <w:rPr>
                <w:rFonts w:ascii="新宋体" w:eastAsia="新宋体" w:hAnsi="新宋体" w:cs="新宋体" w:hint="eastAsia"/>
                <w:color w:val="000000"/>
                <w:sz w:val="20"/>
              </w:rPr>
              <w:t>71.33</w:t>
            </w:r>
          </w:p>
        </w:tc>
      </w:tr>
    </w:tbl>
    <w:p w:rsidR="00E96CBC" w:rsidRDefault="00E96CBC" w:rsidP="00E96CBC"/>
    <w:p w:rsidR="00871387" w:rsidRDefault="00871387"/>
    <w:sectPr w:rsidR="0087138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E340DFB"/>
    <w:rsid w:val="0008732C"/>
    <w:rsid w:val="000A6736"/>
    <w:rsid w:val="000C0217"/>
    <w:rsid w:val="00236316"/>
    <w:rsid w:val="00282D16"/>
    <w:rsid w:val="002D611F"/>
    <w:rsid w:val="003F15F5"/>
    <w:rsid w:val="00585DBC"/>
    <w:rsid w:val="00661A10"/>
    <w:rsid w:val="008069BE"/>
    <w:rsid w:val="008575E2"/>
    <w:rsid w:val="00871387"/>
    <w:rsid w:val="00A90E22"/>
    <w:rsid w:val="00AE5456"/>
    <w:rsid w:val="00CB13AC"/>
    <w:rsid w:val="00D00E30"/>
    <w:rsid w:val="00E96CBC"/>
    <w:rsid w:val="2E340DFB"/>
    <w:rsid w:val="7AA4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BD27C5"/>
  <w15:docId w15:val="{842B7C4B-C87F-4F34-9A2B-A59A69812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142</Words>
  <Characters>814</Characters>
  <Application>Microsoft Office Word</Application>
  <DocSecurity>0</DocSecurity>
  <Lines>6</Lines>
  <Paragraphs>1</Paragraphs>
  <ScaleCrop>false</ScaleCrop>
  <Company>Microsoft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Mr.tong</dc:creator>
  <cp:lastModifiedBy>AutoBVT</cp:lastModifiedBy>
  <cp:revision>6</cp:revision>
  <dcterms:created xsi:type="dcterms:W3CDTF">2022-02-23T11:49:00Z</dcterms:created>
  <dcterms:modified xsi:type="dcterms:W3CDTF">2022-02-28T01:15:00Z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D806C628C54E4A5C854245CC0A8C7BFB</vt:lpwstr>
  </property>
</Properties>
</file>